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 xml:space="preserve">ОСНОВНЫЕ АЛГОРИТМЫ ПРАКТИКИ СМЕТНОГО ДЕЛА 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В  2022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-2023гг.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!!! 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ПРИКАЗ МИНСТРОЯ РФ «О ВНЕСЕНИИ ИЗМЕНЕНИЙ В МЕТОДИКУ ОПРЕДЕЛЕНИЯ СМЕТНОЙ СТОИМОСТИ СТРОИТЕЛЬСТВА, РЕКОНСТРУКЦИИ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… ,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 xml:space="preserve"> УТВЕРЖДЕННУЮ ПРИКАЗОМ МИНСТРОЯ  РФ от 04.08.2020г. № 421/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пр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»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,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от 07.07.2022г. № 557/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пр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 xml:space="preserve"> (Зарегистрировано в МИНЮСТЕ РОССИИ 31.08.22г. № 69860)</w:t>
      </w:r>
    </w:p>
    <w:p>
      <w:pPr>
        <w:pStyle w:val="Heading2"/>
        <w:jc w:val="center"/>
        <w:rPr>
          <w:rFonts w:eastAsiaTheme="minorHAnsi"/>
          <w:sz w:val="24"/>
          <w:szCs w:val="24"/>
          <w:u w:val="single"/>
        </w:rPr>
      </w:pPr>
      <w:r>
        <w:rPr>
          <w:rFonts w:ascii="Arial" w:cs="Arial" w:hAnsi="Arial"/>
        </w:rPr>
        <w:drawing xmlns:mc="http://schemas.openxmlformats.org/markup-compatibility/2006">
          <wp:inline>
            <wp:extent cx="514984" cy="438150"/>
            <wp:effectExtent l="0" t="0" r="25400" b="2540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Rot="0" noChangeAspect="1" noMove="0" noResize="0" noAdjustHandles="0" noChangeShapeType="0"/>
                    </pic:cNvPicPr>
                  </pic:nvPicPr>
                  <pic:blipFill>
                    <a:blip r:embed="rId14"/>
                    <a:srcRect l="0" t="0" r="0" b="0"/>
                    <a:stretch/>
                  </pic:blipFill>
                  <pic:spPr>
                    <a:xfrm>
                      <a:off x="0" y="0"/>
                      <a:ext cx="514984" cy="4381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sz w:val="24"/>
          <w:szCs w:val="24"/>
        </w:rPr>
        <w:t>Сибирская сметная школа (АНО «</w:t>
      </w:r>
      <w:r>
        <w:rPr>
          <w:rFonts w:ascii="Arial" w:cs="Arial" w:hAnsi="Arial"/>
          <w:sz w:val="24"/>
          <w:szCs w:val="24"/>
        </w:rPr>
        <w:t>СибИНЖ</w:t>
      </w:r>
      <w:r>
        <w:rPr>
          <w:rFonts w:ascii="Arial" w:cs="Arial" w:hAnsi="Arial"/>
          <w:sz w:val="24"/>
          <w:szCs w:val="24"/>
        </w:rPr>
        <w:t>»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Heading2"/>
        <w:jc w:val="center"/>
        <w:rPr>
          <w:rFonts w:ascii="Times New Roman" w:cs="Times New Roman" w:hAnsi="Times New Roman"/>
          <w:color w:val="ff0000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>НОВЕЛЛЫ СМЕТНОЙ ПРАКТИКИ</w:t>
      </w:r>
    </w:p>
    <w:p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(Авторский </w:t>
      </w:r>
      <w:r>
        <w:rPr>
          <w:sz w:val="20"/>
          <w:szCs w:val="20"/>
        </w:rPr>
        <w:t>курс</w:t>
      </w:r>
      <w:r>
        <w:rPr>
          <w:sz w:val="20"/>
          <w:szCs w:val="20"/>
        </w:rPr>
        <w:t xml:space="preserve"> по материалам Методики 421/</w:t>
      </w:r>
      <w:r>
        <w:rPr>
          <w:sz w:val="20"/>
          <w:szCs w:val="20"/>
        </w:rPr>
        <w:t>пр</w:t>
      </w:r>
      <w:r>
        <w:rPr>
          <w:sz w:val="20"/>
          <w:szCs w:val="20"/>
        </w:rPr>
        <w:t xml:space="preserve"> (в редакции</w:t>
      </w:r>
      <w:r>
        <w:rPr>
          <w:sz w:val="20"/>
          <w:szCs w:val="20"/>
        </w:rPr>
        <w:t xml:space="preserve"> Приказа Минстроя России</w:t>
      </w:r>
    </w:p>
    <w:p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07.07.2022г. №557/</w:t>
      </w:r>
      <w:r>
        <w:rPr>
          <w:sz w:val="20"/>
          <w:szCs w:val="20"/>
        </w:rPr>
        <w:t>пр</w:t>
      </w:r>
      <w:r>
        <w:rPr>
          <w:sz w:val="20"/>
          <w:szCs w:val="20"/>
        </w:rPr>
        <w:t>) и СН, введенных в действие в 2021 -2022 гг.)</w:t>
      </w:r>
    </w:p>
    <w:p>
      <w:pPr>
        <w:pStyle w:val="Heading2"/>
        <w:spacing w:before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Курс повышения квалификации </w:t>
      </w:r>
    </w:p>
    <w:p>
      <w:pPr>
        <w:pStyle w:val="Heading2"/>
        <w:spacing w:before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«Ценообразование и сметное нормирование в строительстве» </w:t>
      </w:r>
    </w:p>
    <w:p>
      <w:pPr>
        <w:pStyle w:val="Heading2"/>
        <w:spacing w:before="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color w:val="ff0000"/>
          <w:sz w:val="20"/>
          <w:szCs w:val="20"/>
        </w:rPr>
        <w:t xml:space="preserve">(в объеме 72 часа) </w:t>
      </w:r>
    </w:p>
    <w:p>
      <w:pPr>
        <w:pStyle w:val="Heading2"/>
        <w:spacing w:before="0" w:line="240" w:lineRule="auto"/>
        <w:jc w:val="center"/>
        <w:rPr>
          <w:rFonts w:ascii="Arial Black" w:hAnsi="Arial Black"/>
          <w:color w:val="ff0000"/>
          <w:sz w:val="20"/>
          <w:szCs w:val="20"/>
          <w:u w:val="single"/>
        </w:rPr>
      </w:pPr>
      <w:r>
        <w:rPr>
          <w:rFonts w:ascii="Arial Black" w:hAnsi="Arial Black"/>
          <w:color w:val="ff0000"/>
          <w:sz w:val="20"/>
          <w:szCs w:val="20"/>
        </w:rPr>
        <w:t>с</w:t>
      </w:r>
      <w:r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color w:val="ff0000"/>
          <w:sz w:val="20"/>
          <w:szCs w:val="20"/>
          <w:u w:val="single"/>
        </w:rPr>
        <w:t>1</w:t>
      </w:r>
      <w:r>
        <w:rPr>
          <w:rFonts w:ascii="Arial Black" w:hAnsi="Arial Black"/>
          <w:color w:val="ff0000"/>
          <w:sz w:val="20"/>
          <w:szCs w:val="20"/>
          <w:u w:val="single"/>
        </w:rPr>
        <w:t>4</w:t>
      </w:r>
      <w:r>
        <w:rPr>
          <w:rFonts w:ascii="Arial Black" w:hAnsi="Arial Black"/>
          <w:color w:val="ff0000"/>
          <w:sz w:val="20"/>
          <w:szCs w:val="20"/>
          <w:u w:val="single"/>
        </w:rPr>
        <w:t xml:space="preserve"> по 2</w:t>
      </w:r>
      <w:r>
        <w:rPr>
          <w:rFonts w:ascii="Arial Black" w:hAnsi="Arial Black"/>
          <w:color w:val="ff0000"/>
          <w:sz w:val="20"/>
          <w:szCs w:val="20"/>
          <w:u w:val="single"/>
        </w:rPr>
        <w:t>5</w:t>
      </w:r>
      <w:r>
        <w:rPr>
          <w:rFonts w:ascii="Arial Black" w:hAnsi="Arial Black"/>
          <w:color w:val="ff0000"/>
          <w:sz w:val="20"/>
          <w:szCs w:val="20"/>
          <w:u w:val="single"/>
        </w:rPr>
        <w:t xml:space="preserve"> </w:t>
      </w:r>
      <w:r>
        <w:rPr>
          <w:rFonts w:ascii="Arial Black" w:hAnsi="Arial Black"/>
          <w:color w:val="ff0000"/>
          <w:sz w:val="20"/>
          <w:szCs w:val="20"/>
          <w:u w:val="single"/>
        </w:rPr>
        <w:t>но</w:t>
      </w:r>
      <w:r>
        <w:rPr>
          <w:rFonts w:ascii="Arial Black" w:hAnsi="Arial Black"/>
          <w:color w:val="ff0000"/>
          <w:sz w:val="20"/>
          <w:szCs w:val="20"/>
          <w:u w:val="single"/>
        </w:rPr>
        <w:t xml:space="preserve">ября 2022г. </w:t>
      </w:r>
    </w:p>
    <w:p>
      <w:pPr>
        <w:keepNext w:val="on"/>
        <w:keepLines w:val="on"/>
        <w:spacing w:after="0" w:line="240" w:lineRule="auto"/>
        <w:jc w:val="center"/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</w:pP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Формат занятий: Вебинар в режиме реального времени – 30 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ак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.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часов (6 дней по 5 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ак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. часов), </w:t>
      </w:r>
    </w:p>
    <w:p>
      <w:pPr>
        <w:keepNext w:val="on"/>
        <w:keepLines w:val="on"/>
        <w:spacing w:after="0" w:line="240" w:lineRule="auto"/>
        <w:jc w:val="center"/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</w:pP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самостоятельная работа слушателей по нормативным материалам,</w:t>
      </w:r>
    </w:p>
    <w:p>
      <w:pPr>
        <w:keepNext w:val="on"/>
        <w:keepLines w:val="on"/>
        <w:spacing w:after="0" w:line="240" w:lineRule="auto"/>
        <w:jc w:val="center"/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</w:pP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предоставленным обучающей организацией, включая тестирование – 42 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ак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. часа.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b w:val="off"/>
          <w:color w:val="ff0000"/>
          <w:sz w:val="24"/>
          <w:szCs w:val="24"/>
        </w:rPr>
      </w:pPr>
      <w:r>
        <w:rPr>
          <w:rFonts w:ascii="Times New Roman" w:cs="Times New Roman" w:hAnsi="Times New Roman"/>
          <w:b w:val="off"/>
          <w:color w:val="ff0000"/>
          <w:sz w:val="24"/>
          <w:szCs w:val="24"/>
        </w:rPr>
        <w:t>*****</w:t>
      </w:r>
    </w:p>
    <w:p>
      <w:pPr>
        <w:pStyle w:val="Heading2"/>
        <w:spacing w:before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>Спикер: Щербакова Наталья Викторовна</w:t>
      </w:r>
      <w:r>
        <w:rPr>
          <w:rFonts w:ascii="Times New Roman" w:cs="Times New Roman" w:hAnsi="Times New Roman"/>
          <w:sz w:val="20"/>
          <w:szCs w:val="20"/>
        </w:rPr>
        <w:t>, специалист-практик, к.э.н., ведущий преподаватель курса «Ценообразование и сметное нормирование в строительстве» Национального проекта «Демография» (РАНХ и ГС г. Москва), ведущий лектор ЦНТИ «Прогресс», г. Санкт-Петербург.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color w:val="ff0000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Наш курс предназначен и будет полезен для: </w:t>
      </w:r>
    </w:p>
    <w:p>
      <w:pPr>
        <w:pStyle w:val="Heading2"/>
        <w:numPr>
          <w:ilvl w:val="0"/>
          <w:numId w:val="6"/>
        </w:numPr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специалистов государственных учреждений, в том числе служб заказчика, работающих с государственными инвестициями при строительстве, ремонте, реконструкции объектов;</w:t>
      </w:r>
    </w:p>
    <w:p>
      <w:pPr>
        <w:pStyle w:val="Heading2"/>
        <w:numPr>
          <w:ilvl w:val="0"/>
          <w:numId w:val="6"/>
        </w:numPr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специалистов коммерческих предприятий, занимающихся реализацией </w:t>
      </w:r>
      <w:r>
        <w:rPr>
          <w:rFonts w:ascii="Times New Roman" w:cs="Times New Roman" w:hAnsi="Times New Roman"/>
          <w:sz w:val="20"/>
          <w:szCs w:val="20"/>
        </w:rPr>
        <w:t>инвестиционно</w:t>
      </w:r>
      <w:r>
        <w:rPr>
          <w:rFonts w:ascii="Times New Roman" w:cs="Times New Roman" w:hAnsi="Times New Roman"/>
          <w:sz w:val="20"/>
          <w:szCs w:val="20"/>
        </w:rPr>
        <w:t xml:space="preserve"> -строительных проектов и владеющих вопросами ценообразования и сметного нормирования;</w:t>
      </w:r>
    </w:p>
    <w:p>
      <w:pPr>
        <w:pStyle w:val="Heading2"/>
        <w:numPr>
          <w:ilvl w:val="0"/>
          <w:numId w:val="6"/>
        </w:numPr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работников органов государственной и негосударственной экспертизы в строительстве.   </w:t>
      </w:r>
    </w:p>
    <w:p>
      <w:pPr>
        <w:pStyle w:val="Heading2"/>
        <w:spacing w:before="0" w:line="240" w:lineRule="auto"/>
        <w:ind w:left="752"/>
        <w:jc w:val="center"/>
        <w:rPr>
          <w:rFonts w:ascii="Times New Roman" w:cs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Рабочая программа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ЭТАПЫ ПЕРЕХОДА НА РЕСУРСНО-ИНДЕКСНЫЙ МЕТОД и ФЕДЕРАЛЬНАЯ СМЕТНО-НОРМАТИВНАЯ БАЗА В ЦЕНАХ НА 1 ЯНВАРЯ 2022 года. 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Государственные </w:t>
      </w:r>
      <w:r>
        <w:rPr>
          <w:rFonts w:ascii="Times New Roman" w:cs="Times New Roman" w:hAnsi="Times New Roman"/>
          <w:sz w:val="20"/>
          <w:szCs w:val="20"/>
        </w:rPr>
        <w:t>элементные сметные нормы (ГЭСН-2022). Обзор и анализ основных изменений.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Актуальность и рекомендации по применению Федерального сборник базисных цен на материалы, изделия, конструкции, оборудование (ФСБЦ) и эксплуатацию машин и механизмов ФСЭМ. Методика определения сметных цен на эксплуатацию машин и механизмов, утвержденная приказом Минстроя РФ от 13.12.2021г. №916 (Зарегистрировано Минюстом РФ №68062 от 05.04.2022г.).  Общие положения и порядок определения сметных цен на эксплуатацию машин и механизмов.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Модель расчета сметной стоимости строительства </w:t>
      </w:r>
      <w:r>
        <w:rPr>
          <w:rFonts w:ascii="Times New Roman" w:cs="Times New Roman" w:hAnsi="Times New Roman"/>
          <w:sz w:val="20"/>
          <w:szCs w:val="20"/>
        </w:rPr>
        <w:t>с 30.12.2022г. (Ресурсно-индексный метод).</w:t>
      </w:r>
    </w:p>
    <w:p>
      <w:pPr>
        <w:spacing w:after="0" w:line="240" w:lineRule="auto"/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ff0000"/>
          <w:sz w:val="20"/>
          <w:szCs w:val="20"/>
        </w:rPr>
        <w:t xml:space="preserve">Действующие нормативно-методические документы 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по ценообразованию в строительстве.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 xml:space="preserve"> Навигатор и практическое применение изменений в Методике 421/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пр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 xml:space="preserve"> (в редакции Приказа Минстроя РФ от 07.07.2022г. №557/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пр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) :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Актуальные правила оформления сметной документации.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Новый порядок индексации при пересчете в текущий уровень стоимости строительства.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cs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Алгоритм применения сметных нормативов (ГЭСН (ФСНБ-2022 ), ФСБЦ и ФСЭМ в ценах на 01.01.2022г.)</w:t>
      </w:r>
      <w:r>
        <w:rPr>
          <w:rFonts w:ascii="Times New Roman" w:cs="Times New Roman" w:eastAsia="Times New Roman" w:hAnsi="Times New Roman"/>
          <w:b/>
          <w:bCs/>
          <w:color w:val="4472c4" w:themeColor="accent1"/>
          <w:sz w:val="20"/>
          <w:szCs w:val="20"/>
          <w:lang w:eastAsia="ru-RU"/>
        </w:rPr>
        <w:t xml:space="preserve"> до перехода на  ресурсно-индексный метод определения сметной стоимости строительства   в случае выполнения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расчета базисно-индексным методом при отсутствии в ФЕР,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ФЕРр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ФЕРм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ФЕРмр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ФЕРп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единичных расценок на отдельные виды работ.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>
      <w:pPr>
        <w:spacing w:after="160" w:line="259" w:lineRule="auto"/>
        <w:rPr>
          <w:rFonts w:ascii="Times New Roman" w:cs="Times New Roman" w:hAnsi="Times New Roman"/>
          <w:color w:val="0070c0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Практика.</w:t>
      </w:r>
      <w:r>
        <w:rPr>
          <w:rFonts w:ascii="Times New Roman" w:cs="Times New Roman" w:hAnsi="Times New Roman"/>
          <w:color w:val="0070c0"/>
          <w:sz w:val="20"/>
          <w:szCs w:val="20"/>
        </w:rPr>
        <w:t xml:space="preserve">  Калькулирование стоимости строительных ресурсов (в ценах на 01.01.2022г.) с пересчетом на дату разработки сметной документации базисно-индексным методом. Составление отдельного сметного расчета.</w:t>
      </w:r>
    </w:p>
    <w:p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cs="Times New Roman" w:hAnsi="Times New Roman"/>
          <w:color w:val="0070c0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Ключевые изменения в определении сметной стоимости материальных ресурсов и оборудования 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(в т.ч. пп120,121 Методики 421/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пр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)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перевозимых  на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расстояние, превышающее 30 км (дополнительное расстояние перевозки). </w:t>
      </w:r>
    </w:p>
    <w:p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Практика. Расчет сметной стоимости материального ресурса (на примере Новосибирской области) базисно-индексным методом с учетом перевозки 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на 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дополнительное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расстояние и условий «перевалки». </w:t>
      </w:r>
    </w:p>
    <w:p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Сметная стоимость годных для повторного использования (ранее использованных один и более раз) материальных ресурсов.</w:t>
      </w:r>
      <w:r>
        <w:rPr>
          <w:rFonts w:ascii="Times New Roman" w:cs="Times New Roman" w:hAnsi="Times New Roman"/>
          <w:color w:val="2f5395" w:themeColor="accent1" w:themeShade="bf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2f5395" w:themeColor="accent1" w:themeShade="bf"/>
          <w:sz w:val="20"/>
          <w:szCs w:val="20"/>
        </w:rPr>
        <w:t>Оформление возврата стоимости материальных ресурсов.</w:t>
      </w:r>
    </w:p>
    <w:p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Новизна в определении сметной стоимости «Эксплуатации машин и механизмов» (перебазировка, условия замены 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>строймеханизмов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 и т.д.).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Важные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обоснования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 xml:space="preserve"> в проектной документации для применения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 xml:space="preserve"> коэффициентов, приведенных в Приложении N 10 к Методике 421/пр.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Индексация в текущий уровень цен с применением соответствующих индексов изменения сметной стоимости</w:t>
      </w:r>
      <w:r>
        <w:rPr>
          <w:rFonts w:ascii="Times New Roman" w:cs="Times New Roman" w:hAnsi="Times New Roman"/>
          <w:sz w:val="20"/>
          <w:szCs w:val="20"/>
        </w:rPr>
        <w:t xml:space="preserve"> строительства</w:t>
      </w:r>
      <w:r>
        <w:rPr>
          <w:rFonts w:ascii="Times New Roman" w:cs="Times New Roman" w:hAnsi="Times New Roman"/>
          <w:sz w:val="20"/>
          <w:szCs w:val="20"/>
        </w:rPr>
        <w:t xml:space="preserve">, разрабатываемых в соответствии с </w:t>
      </w:r>
      <w:r>
        <w:fldChar w:fldCharType="begin"/>
      </w:r>
      <w:r>
        <w:instrText xml:space="preserve">HYPERLINK "http://login.consultant.ru/link/?req=doc&amp;base=RZR&amp;n=333239&amp;date=02.10.2020&amp;dst=100010&amp;fld=134" </w:instrText>
      </w:r>
      <w:r>
        <w:fldChar w:fldCharType="separate"/>
      </w:r>
      <w:r>
        <w:rPr>
          <w:rFonts w:ascii="Times New Roman" w:cs="Times New Roman" w:hAnsi="Times New Roman"/>
          <w:sz w:val="20"/>
          <w:szCs w:val="20"/>
        </w:rPr>
        <w:t>Методикой</w:t>
      </w:r>
      <w:r>
        <w:fldChar w:fldCharType="end"/>
      </w:r>
      <w:r>
        <w:rPr>
          <w:rFonts w:ascii="Times New Roman" w:cs="Times New Roman" w:hAnsi="Times New Roman"/>
          <w:sz w:val="20"/>
          <w:szCs w:val="20"/>
        </w:rPr>
        <w:t xml:space="preserve"> 326/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 (в редакции Методики 79/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), в т.ч. работа над ошибками. 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Решение сложных вопросов по начислению нормативов накладных расходов (Правило +3) и сметной прибыли (Правило+2), включая инженерные сооружения, по материалам новых Методик 812/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>, 636/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 и</w:t>
      </w:r>
      <w:r>
        <w:rPr>
          <w:rFonts w:ascii="Times New Roman" w:cs="Times New Roman" w:hAnsi="Times New Roman"/>
          <w:sz w:val="20"/>
          <w:szCs w:val="20"/>
        </w:rPr>
        <w:t xml:space="preserve"> 774/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). Прецедент и последствия оформления «генподрядных услуг». 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Оформление приказа по формированию сметной стоимости СМР (ремонтно-строительных работ) и расчетам за выполненные работы по прямым договорам, в т.ч. </w:t>
      </w:r>
      <w:r>
        <w:rPr>
          <w:rFonts w:ascii="Times New Roman" w:cs="Times New Roman" w:hAnsi="Times New Roman"/>
          <w:sz w:val="20"/>
          <w:szCs w:val="20"/>
        </w:rPr>
        <w:t>хозспособ</w:t>
      </w:r>
      <w:r>
        <w:rPr>
          <w:rFonts w:ascii="Times New Roman" w:cs="Times New Roman" w:hAnsi="Times New Roman"/>
          <w:sz w:val="20"/>
          <w:szCs w:val="20"/>
        </w:rPr>
        <w:t>, УСН и др.</w:t>
      </w:r>
    </w:p>
    <w:p>
      <w:pPr>
        <w:pStyle w:val="Heading2"/>
        <w:rPr>
          <w:rFonts w:ascii="Times New Roman" w:cs="Times New Roman" w:hAnsi="Times New Roman"/>
          <w:color w:val="2f5395" w:themeColor="accent1" w:themeShade="bf"/>
          <w:sz w:val="20"/>
          <w:szCs w:val="20"/>
        </w:rPr>
      </w:pP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Особенности составления сметной документации на ремонтно-строительные работы на текущий момент (Новые Методики Минстроя России + дополнения и изменения).</w:t>
      </w:r>
      <w:r>
        <w:rPr>
          <w:rFonts w:ascii="Times New Roman" w:cs="Times New Roman" w:hAnsi="Times New Roman"/>
          <w:color w:val="2f5395" w:themeColor="accent1" w:themeShade="bf"/>
          <w:sz w:val="20"/>
          <w:szCs w:val="20"/>
        </w:rPr>
        <w:t xml:space="preserve"> </w:t>
      </w:r>
    </w:p>
    <w:p>
      <w:pPr>
        <w:pStyle w:val="Heading2"/>
        <w:numPr>
          <w:ilvl w:val="0"/>
          <w:numId w:val="1"/>
        </w:numPr>
        <w:spacing w:before="0" w:line="240" w:lineRule="auto"/>
        <w:ind w:left="714" w:hanging="3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Изменение классификации капитального ремонта. </w:t>
      </w:r>
    </w:p>
    <w:p>
      <w:pPr>
        <w:pStyle w:val="Heading2"/>
        <w:numPr>
          <w:ilvl w:val="0"/>
          <w:numId w:val="1"/>
        </w:numPr>
        <w:spacing w:before="0" w:line="240" w:lineRule="auto"/>
        <w:ind w:left="714" w:hanging="3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Ведомость объемов работ – основание для применения коэффициентов, учитывающих воздействие внешних факторов при выполнении работ, затаривания мусора в мешки и другое. </w:t>
      </w:r>
    </w:p>
    <w:p>
      <w:pPr>
        <w:pStyle w:val="Heading2"/>
        <w:numPr>
          <w:ilvl w:val="0"/>
          <w:numId w:val="1"/>
        </w:numPr>
        <w:spacing w:before="0" w:line="240" w:lineRule="auto"/>
        <w:ind w:left="714" w:hanging="3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Заказчик нарушает п.58 Методики 421/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 – не отдает подрядчику коэффициенты 1,15 и 1,25, делаем расчет по переноске грузов вручную (Ст.703 ГК РФ) и предъявляем к оплате. </w:t>
      </w:r>
    </w:p>
    <w:p>
      <w:pPr>
        <w:pStyle w:val="Heading2"/>
        <w:numPr>
          <w:ilvl w:val="0"/>
          <w:numId w:val="1"/>
        </w:numPr>
        <w:spacing w:before="0" w:line="240" w:lineRule="auto"/>
        <w:ind w:left="714" w:hanging="3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Возможность составления сметы контракта и порядок расчета за выполненные работы.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Замечательные новости по «легализации» текущего ремонта (Постановление Правительства от 30.11.21г. №2120, введено в действие с 01.03.2022г.) и кардинальные изменения в перечне работ по текущему ремонту.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Сводный сметный расчет стоимости строительства – основа НМЦК.</w:t>
      </w:r>
    </w:p>
    <w:p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cs="Times New Roman" w:eastAsia="Times New Roman" w:hAnsi="Times New Roman"/>
          <w:b/>
          <w:bCs/>
          <w:color w:val="4472c4" w:themeColor="accent1"/>
          <w:sz w:val="20"/>
          <w:szCs w:val="20"/>
          <w:lang w:eastAsia="ru-RU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Глава 1.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 «Подготовка территории строительства» и решение спорных вопросов по освоению территории строительства, объездной дороге и др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>Глобальные изменения учета затрат в главах ССРСС: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hAnsi="Times New Roman"/>
          <w:color w:val="0070c0"/>
          <w:sz w:val="20"/>
          <w:szCs w:val="20"/>
        </w:rPr>
      </w:pPr>
      <w:r>
        <w:rPr>
          <w:rFonts w:ascii="Times New Roman" w:cs="Times New Roman" w:hAnsi="Times New Roman"/>
          <w:color w:val="0070c0"/>
          <w:sz w:val="20"/>
          <w:szCs w:val="20"/>
        </w:rPr>
        <w:t>Глава 8. Временные здания и сооружения (Выбор метода расчета и др.).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hAnsi="Times New Roman"/>
          <w:color w:val="0070c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0070c0"/>
          <w:sz w:val="20"/>
          <w:szCs w:val="20"/>
        </w:rPr>
        <w:t>Глава 9. Прочие работы и затраты</w:t>
      </w:r>
      <w:r>
        <w:rPr>
          <w:rFonts w:ascii="Times New Roman" w:cs="Times New Roman" w:hAnsi="Times New Roman"/>
          <w:color w:val="0070c0"/>
          <w:sz w:val="20"/>
          <w:szCs w:val="20"/>
        </w:rPr>
        <w:t xml:space="preserve">. 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  <w:u w:val="single"/>
        </w:rPr>
        <w:t>!!!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  <w:u w:val="single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u w:val="single"/>
          <w:lang w:eastAsia="ru-RU"/>
        </w:rPr>
        <w:t>Средства на выплату премий за досрочный ввод в эксплуатацию построенного объекта (в т.ч. как распределяли премия в СССР).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Проблемные затраты: Расчет стоимости мероприятий по предотвращению распространения вирусных инфекций (Пример); Расходы на командировки рабочих и пусконаладочного персонала (бюджет и прочие инвестиции) и др. 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Дополнительные расходы на разработку проектов производства работ.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Глава 10. Содержание службы заказчика. Строительный контроль. Дополнительные затраты на осуществление функций строительного контроля.</w:t>
      </w:r>
    </w:p>
    <w:p>
      <w:pPr>
        <w:spacing w:after="160" w:line="259" w:lineRule="auto"/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Порядок учета затрат на консервацию объекта.</w:t>
      </w:r>
    </w:p>
    <w:p>
      <w:pPr>
        <w:pStyle w:val="Heading2"/>
        <w:rPr>
          <w:rFonts w:ascii="Times New Roman" w:cs="Times New Roman" w:hAnsi="Times New Roman"/>
          <w:b w:val="off"/>
          <w:bCs w:val="off"/>
          <w:color w:val="2f5395" w:themeColor="accent1" w:themeShade="bf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ВСЕ НОВОСТИ по расчету НМЦК и разработке СМЕТЫ КОНТРАКТА.</w:t>
      </w:r>
      <w:r>
        <w:rPr>
          <w:rFonts w:ascii="Times New Roman" w:cs="Times New Roman" w:hAnsi="Times New Roman"/>
          <w:color w:val="2f5395" w:themeColor="accent1" w:themeShade="bf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Ведомость объемов конструктивных решений и комплексов работ. НМЦК. Проект сметы контракта («Зашиваем» в комплексы (этапы) работ </w:t>
      </w:r>
      <w:r>
        <w:rPr>
          <w:rFonts w:ascii="Times New Roman" w:cs="Times New Roman" w:hAnsi="Times New Roman"/>
          <w:sz w:val="20"/>
          <w:szCs w:val="20"/>
        </w:rPr>
        <w:t>ВЗиС</w:t>
      </w:r>
      <w:r>
        <w:rPr>
          <w:rFonts w:ascii="Times New Roman" w:cs="Times New Roman" w:hAnsi="Times New Roman"/>
          <w:sz w:val="20"/>
          <w:szCs w:val="20"/>
        </w:rPr>
        <w:t>, НДЗ, резерв средств на непредвиденные работы и затраты, НДС).</w:t>
      </w:r>
      <w:r>
        <w:rPr>
          <w:rFonts w:ascii="Times New Roman" w:cs="Times New Roman" w:hAnsi="Times New Roman"/>
          <w:b w:val="off"/>
          <w:bCs w:val="off"/>
          <w:sz w:val="24"/>
          <w:szCs w:val="24"/>
          <w:u w:val="single"/>
        </w:rPr>
        <w:t xml:space="preserve"> </w:t>
      </w:r>
    </w:p>
    <w:p>
      <w:pPr>
        <w:spacing w:after="0" w:line="240" w:lineRule="auto"/>
        <w:rPr>
          <w:rFonts w:ascii="Times New Roman" w:cs="Times New Roman" w:hAnsi="Times New Roman"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color w:val="4472c4" w:themeColor="accent1"/>
          <w:sz w:val="20"/>
          <w:szCs w:val="20"/>
        </w:rPr>
        <w:t>Прецедент изменения существенных условий контракта, включая замену строительных ресурсов на эквиваленты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(Постановления Правительства РФ от 16.04.2022 № 680, от 04.04.2022 № 579, от 23.03.2022 № 439 и части 65.1 статьи 112 Закона № 44 -ФЗ и др. </w:t>
      </w:r>
    </w:p>
    <w:p>
      <w:pPr>
        <w:spacing w:after="0" w:line="240" w:lineRule="auto"/>
        <w:rPr>
          <w:rFonts w:ascii="Times New Roman" w:cs="Times New Roman" w:hAnsi="Times New Roman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Условия о приемке и оплате выполненных работ.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Приказ Минстроя России от 14.01.2020 N 9/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пр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 (ред. от 14.10.2021)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контракта" (вместе с "Типовыми условиями государственного или муниципального контракта, предметом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которого является выполнение работ по строительству (реконструкции) объекта капитального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строительства"(Зарегистрировано в Минюсте России 21.02.2020 N 57585).</w:t>
      </w:r>
    </w:p>
    <w:p>
      <w:pPr>
        <w:pStyle w:val="NoSpacing"/>
        <w:jc w:val="both"/>
        <w:rPr>
          <w:color w:val="4472c4" w:themeColor="accent1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Электронное актирование строительных работ в ЕИС согласно ч. 13 и ч. 14 ст. 94 Закона о контрактной системе № 44-ФЗ</w:t>
      </w:r>
    </w:p>
    <w:p>
      <w:pPr>
        <w:pStyle w:val="NoSpacing"/>
        <w:jc w:val="both"/>
        <w:rPr>
          <w:rFonts w:ascii="Times New Roman" w:cs="Times New Roman" w:hAnsi="Times New Roman"/>
          <w:b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>Н</w:t>
      </w:r>
      <w:r>
        <w:rPr>
          <w:rFonts w:ascii="Times New Roman" w:cs="Times New Roman" w:hAnsi="Times New Roman"/>
          <w:b/>
          <w:color w:val="4472c4" w:themeColor="accent1"/>
          <w:sz w:val="16"/>
          <w:szCs w:val="16"/>
        </w:rPr>
        <w:t>ОВЫЕ ФОРМЫ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  <w:u w:val="single"/>
        </w:rPr>
        <w:t>первичных учетных документов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>, рекомендуемые Минстроем РФ (Письмо Минстроя РФ от 30.12.2021г. № 58204-СМ/09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>),  и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 xml:space="preserve"> правила их оформления в 2022-2023гг.</w:t>
      </w:r>
    </w:p>
    <w:p>
      <w:pPr>
        <w:pStyle w:val="Heading2"/>
        <w:jc w:val="both"/>
        <w:rPr>
          <w:i/>
          <w:sz w:val="20"/>
          <w:szCs w:val="20"/>
          <w:u w:val="single"/>
        </w:rPr>
      </w:pPr>
      <w:r>
        <w:rPr>
          <w:color w:val="ff0000"/>
          <w:sz w:val="20"/>
          <w:szCs w:val="20"/>
        </w:rPr>
        <w:t xml:space="preserve">Слушатели по итогам занятий  получают </w:t>
      </w:r>
      <w:r>
        <w:rPr>
          <w:color w:val="ff0000"/>
          <w:sz w:val="20"/>
          <w:szCs w:val="20"/>
          <w:u w:val="single"/>
        </w:rPr>
        <w:t>удостоверение о повышении квалификации по курсу «Ценообразование и сметное нормирование в строительстве» (72 часа), кроме того, с целью исполнения Приказа Минтруда от 18.07.2019 г. № 504н 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обучении»), именную печать (образец приведен ниже) и Сертификат</w:t>
      </w:r>
      <w:r>
        <w:rPr>
          <w:color w:val="1f497d"/>
          <w:sz w:val="20"/>
          <w:szCs w:val="20"/>
          <w:u w:val="single"/>
        </w:rPr>
        <w:t xml:space="preserve">, подтверждающий уровень специальных знаний в </w:t>
      </w:r>
      <w:r>
        <w:rPr>
          <w:color w:val="1f497d"/>
          <w:sz w:val="20"/>
          <w:szCs w:val="20"/>
          <w:u w:val="single"/>
        </w:rPr>
        <w:t>грейдовой</w:t>
      </w:r>
      <w:r>
        <w:rPr>
          <w:color w:val="1f497d"/>
          <w:sz w:val="20"/>
          <w:szCs w:val="20"/>
          <w:u w:val="single"/>
        </w:rPr>
        <w:t xml:space="preserve"> оценке должностей и комплект раздаточного материала в   электронном формате.</w:t>
      </w:r>
    </w:p>
    <w:p>
      <w:pPr>
        <w:pStyle w:val="Heading2"/>
        <w:spacing w:line="240" w:lineRule="auto"/>
        <w:jc w:val="center"/>
        <w:rPr>
          <w:b w:val="off"/>
          <w:i/>
          <w:sz w:val="20"/>
          <w:szCs w:val="20"/>
          <w:u w:val="single"/>
        </w:rPr>
      </w:pPr>
      <w:r>
        <w:rPr>
          <w:i/>
          <w:sz w:val="22"/>
          <w:szCs w:val="22"/>
          <w:u w:val="single"/>
        </w:rPr>
        <w:t>Стоимость участия одного слушателя –23 500 рублей</w:t>
      </w:r>
    </w:p>
    <w:p>
      <w:pPr>
        <w:pStyle w:val="Normal"/>
        <w:spacing w:line="240" w:lineRule="auto"/>
        <w:jc w:val="center"/>
        <w:rPr/>
      </w:pPr>
    </w:p>
    <w:p>
      <w:pPr>
        <w:pStyle w:val="Heading2"/>
        <w:spacing w:before="0" w:line="24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Информация по эл. почте</w:t>
      </w:r>
      <w:r>
        <w:rPr>
          <w:sz w:val="22"/>
          <w:szCs w:val="22"/>
        </w:rPr>
        <w:t xml:space="preserve">: </w:t>
      </w:r>
      <w:r>
        <w:fldChar w:fldCharType="begin"/>
      </w:r>
      <w:r>
        <w:instrText xml:space="preserve">HYPERLINK "mailto:sic3610243@mail.ru"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sic</w:t>
      </w:r>
      <w:r>
        <w:rPr>
          <w:rStyle w:val="Hyperlink"/>
          <w:rFonts w:ascii="Times New Roman" w:cs="Times New Roman" w:hAnsi="Times New Roman"/>
          <w:sz w:val="22"/>
          <w:szCs w:val="22"/>
        </w:rPr>
        <w:t>3610243@</w:t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mail</w:t>
      </w:r>
      <w:r>
        <w:rPr>
          <w:rStyle w:val="Hyperlink"/>
          <w:rFonts w:ascii="Times New Roman" w:cs="Times New Roman" w:hAnsi="Times New Roman"/>
          <w:sz w:val="22"/>
          <w:szCs w:val="22"/>
        </w:rPr>
        <w:t>.</w:t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ru</w:t>
      </w:r>
      <w:r>
        <w:fldChar w:fldCharType="end"/>
      </w:r>
      <w:r>
        <w:rPr>
          <w:rStyle w:val="Hyperlink"/>
          <w:rFonts w:ascii="Times New Roman" w:cs="Times New Roman" w:hAnsi="Times New Roman"/>
          <w:sz w:val="22"/>
          <w:szCs w:val="22"/>
        </w:rPr>
        <w:t xml:space="preserve"> 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</w:rPr>
        <w:t>и тел.8-913-913-2360 и 8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</w:rPr>
        <w:t xml:space="preserve"> 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</w:rPr>
        <w:t>(383)</w:t>
      </w:r>
      <w:r>
        <w:rPr>
          <w:color w:val="ff0000"/>
          <w:sz w:val="22"/>
          <w:szCs w:val="22"/>
        </w:rPr>
        <w:t xml:space="preserve"> 264-68-81</w:t>
      </w: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  <w:r>
        <w:rPr>
          <w:lang w:eastAsia="ru-RU"/>
        </w:rPr>
        <w:drawing xmlns:mc="http://schemas.openxmlformats.org/markup-compatibility/2006">
          <wp:inline distT="0" distB="0" distL="0" distR="0">
            <wp:extent cx="1174140" cy="102298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1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Heading2"/>
        <w:spacing w:before="0"/>
        <w:rPr>
          <w:rFonts w:ascii="Calibri" w:eastAsia="Calibri" w:hAnsi="Calibri"/>
          <w:b w:val="off"/>
          <w:bCs w:val="off"/>
          <w:color w:val="auto"/>
          <w:sz w:val="24"/>
          <w:szCs w:val="24"/>
        </w:rPr>
      </w:pPr>
      <w:r>
        <w:rPr>
          <w:rFonts w:ascii="Calibri" w:eastAsia="Calibri" w:hAnsi="Calibri"/>
          <w:b w:val="off"/>
          <w:bCs w:val="off"/>
          <w:color w:val="auto"/>
          <w:sz w:val="24"/>
          <w:szCs w:val="24"/>
        </w:rPr>
        <w:t xml:space="preserve">             </w:t>
      </w:r>
    </w:p>
    <w:p>
      <w:pPr>
        <w:pStyle w:val="Heading2"/>
        <w:spacing w:before="0"/>
        <w:rPr>
          <w:color w:val="ff0000"/>
        </w:rPr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Heading2"/>
        <w:spacing w:before="0"/>
        <w:rPr>
          <w:color w:val="ff0000"/>
        </w:rPr>
      </w:pPr>
    </w:p>
    <w:p>
      <w:pPr>
        <w:pStyle w:val="Heading2"/>
        <w:spacing w:before="0"/>
        <w:rPr>
          <w:color w:val="ff0000"/>
        </w:rPr>
      </w:pPr>
    </w:p>
    <w:p>
      <w:pPr>
        <w:pStyle w:val="Heading2"/>
        <w:spacing w:before="0"/>
        <w:rPr>
          <w:sz w:val="20"/>
          <w:szCs w:val="20"/>
        </w:rPr>
      </w:pPr>
      <w:r>
        <w:rPr>
          <w:color w:val="ff0000"/>
        </w:rPr>
        <w:t xml:space="preserve"> </w:t>
      </w:r>
      <w:r>
        <w:rPr>
          <w:color w:val="ff0000"/>
          <w:sz w:val="20"/>
          <w:szCs w:val="20"/>
        </w:rPr>
        <w:t>Заявки (Приложение №1)</w:t>
      </w:r>
      <w:r>
        <w:rPr>
          <w:sz w:val="20"/>
          <w:szCs w:val="20"/>
        </w:rPr>
        <w:t xml:space="preserve"> отправлять по эл. почте: </w:t>
      </w:r>
      <w:r>
        <w:fldChar w:fldCharType="begin"/>
      </w:r>
      <w:r>
        <w:instrText xml:space="preserve">HYPERLINK "mailto:sic3610243@mail.ru"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0"/>
          <w:szCs w:val="20"/>
          <w:lang w:val="en-US"/>
        </w:rPr>
        <w:t>sic</w:t>
      </w:r>
      <w:r>
        <w:rPr>
          <w:rStyle w:val="Hyperlink"/>
          <w:rFonts w:ascii="Times New Roman" w:cs="Times New Roman" w:hAnsi="Times New Roman"/>
          <w:sz w:val="20"/>
          <w:szCs w:val="20"/>
        </w:rPr>
        <w:t>3610243@</w:t>
      </w:r>
      <w:r>
        <w:rPr>
          <w:rStyle w:val="Hyperlink"/>
          <w:rFonts w:ascii="Times New Roman" w:cs="Times New Roman" w:hAnsi="Times New Roman"/>
          <w:sz w:val="20"/>
          <w:szCs w:val="20"/>
          <w:lang w:val="en-US"/>
        </w:rPr>
        <w:t>mail</w:t>
      </w:r>
      <w:r>
        <w:rPr>
          <w:rStyle w:val="Hyperlink"/>
          <w:rFonts w:ascii="Times New Roman" w:cs="Times New Roman" w:hAnsi="Times New Roman"/>
          <w:sz w:val="20"/>
          <w:szCs w:val="20"/>
        </w:rPr>
        <w:t>.</w:t>
      </w:r>
      <w:r>
        <w:rPr>
          <w:rStyle w:val="Hyperlink"/>
          <w:rFonts w:ascii="Times New Roman" w:cs="Times New Roman" w:hAnsi="Times New Roman"/>
          <w:sz w:val="20"/>
          <w:szCs w:val="20"/>
          <w:lang w:val="en-US"/>
        </w:rPr>
        <w:t>ru</w:t>
      </w:r>
      <w:r>
        <w:fldChar w:fldCharType="end"/>
      </w:r>
    </w:p>
    <w:p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>Наши контакты:</w:t>
      </w:r>
      <w:r>
        <w:rPr>
          <w:sz w:val="20"/>
          <w:szCs w:val="20"/>
        </w:rPr>
        <w:t xml:space="preserve"> </w:t>
      </w:r>
    </w:p>
    <w:p>
      <w:pPr>
        <w:spacing w:after="0" w:line="240" w:lineRule="auto"/>
        <w:rPr>
          <w:sz w:val="2"/>
          <w:szCs w:val="2"/>
        </w:rPr>
      </w:pPr>
    </w:p>
    <w:p>
      <w:pPr>
        <w:spacing w:after="0" w:line="240" w:lineRule="auto"/>
        <w:rPr>
          <w:rFonts w:ascii="Times New Roman" w:cs="Times New Roman" w:eastAsiaTheme="majorEastAsia" w:hAnsi="Times New Roman"/>
          <w:b/>
          <w:i/>
          <w:u w:val="single"/>
        </w:rPr>
      </w:pPr>
      <w:r>
        <w:t xml:space="preserve">                </w:t>
      </w:r>
      <w:r>
        <w:t xml:space="preserve">                </w:t>
      </w:r>
      <w:r>
        <w:rPr>
          <w:rFonts w:ascii="Times New Roman" w:cs="Times New Roman" w:hAnsi="Times New Roman"/>
          <w:b/>
          <w:sz w:val="20"/>
          <w:szCs w:val="20"/>
          <w:lang w:eastAsia="ru-RU"/>
        </w:rPr>
        <w:t xml:space="preserve">Заявка </w:t>
      </w:r>
      <w:r>
        <w:rPr>
          <w:rFonts w:ascii="Times New Roman" w:cs="Times New Roman" w:hAnsi="Times New Roman"/>
          <w:b/>
          <w:sz w:val="20"/>
          <w:szCs w:val="20"/>
          <w:lang w:eastAsia="ru-RU"/>
        </w:rPr>
        <w:t>участника  ПК</w:t>
      </w:r>
      <w:r>
        <w:rPr>
          <w:rFonts w:ascii="Times New Roman" w:cs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dk1"/>
          <w:sz w:val="20"/>
          <w:szCs w:val="20"/>
          <w:lang w:eastAsia="ru-RU"/>
        </w:rPr>
        <w:t xml:space="preserve"> 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</w:rPr>
        <w:t>с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</w:rPr>
        <w:t xml:space="preserve"> 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>1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>4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 xml:space="preserve"> по 2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>5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 xml:space="preserve"> 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>но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>ября 2022г.</w:t>
      </w:r>
      <w:r>
        <w:rPr>
          <w:rFonts w:ascii="Arial Black" w:hAnsi="Arial Black"/>
          <w:b/>
          <w:bCs/>
          <w:color w:val="000000" w:themeColor="dk1"/>
          <w:sz w:val="20"/>
          <w:szCs w:val="20"/>
          <w:u w:val="single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  <w:lang w:eastAsia="ru-RU"/>
        </w:rPr>
        <w:t>(в объеме 72 часа</w:t>
      </w:r>
      <w:r>
        <w:rPr>
          <w:rFonts w:ascii="Times New Roman" w:cs="Times New Roman" w:hAnsi="Times New Roman"/>
          <w:b/>
          <w:lang w:eastAsia="ru-RU"/>
        </w:rPr>
        <w:t>)</w:t>
      </w:r>
    </w:p>
    <w:tbl>
      <w:tblPr>
        <w:tblStyle w:val="Сеткатаблицы1"/>
        <w:tblW w:w="0" w:type="auto"/>
        <w:tblLook w:val="04A0"/>
      </w:tblPr>
      <w:tblGrid>
        <w:gridCol w:w="4686"/>
        <w:gridCol w:w="4658"/>
      </w:tblGrid>
      <w:tr>
        <w:trPr>
          <w:trHeight w:val="480"/>
        </w:trPr>
        <w:tc>
          <w:tcPr>
            <w:cnfStyle w:val="1010000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Ф.И.О. участника (-</w:t>
            </w: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ов</w:t>
            </w: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)</w:t>
            </w:r>
          </w:p>
        </w:tc>
        <w:tc>
          <w:tcPr>
            <w:cnfStyle w:val="1000000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>
          <w:trHeight w:val="751"/>
        </w:trPr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Наименование организации (для счета)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Почтовый адрес: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Руководитель (генеральный директор, директор, руководитель и т.д.) ФИО (действует на основании Устава, Доверенности, Положения и т.д.):</w:t>
            </w: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Телефон,  Электронная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почта: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Банковские реквизиты: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>
          <w:trHeight w:val="792"/>
        </w:trPr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Пожелания</w:t>
            </w:r>
            <w:r>
              <w:rPr>
                <w:rFonts w:ascii="Times New Roman" w:cs="Times New Roman" w:eastAsiaTheme="minorEastAsia" w:hAnsi="Times New Roman"/>
                <w:b/>
              </w:rPr>
              <w:t>, примечания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>Дата __________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  <w:u w:val="single"/>
        </w:rPr>
        <w:t>!!! Обратите внимание.</w:t>
      </w:r>
      <w:r>
        <w:rPr>
          <w:rFonts w:ascii="Times New Roman" w:cs="Times New Roman" w:hAnsi="Times New Roman"/>
          <w:b/>
          <w:sz w:val="20"/>
          <w:szCs w:val="20"/>
        </w:rPr>
        <w:t xml:space="preserve"> По факту заключения договора (контракта) слушатель (-ли) обязан(-ы) в 3-х </w:t>
      </w:r>
      <w:r>
        <w:rPr>
          <w:rFonts w:ascii="Times New Roman" w:cs="Times New Roman" w:hAnsi="Times New Roman"/>
          <w:b/>
          <w:sz w:val="20"/>
          <w:szCs w:val="20"/>
        </w:rPr>
        <w:t>дневный</w:t>
      </w:r>
      <w:r>
        <w:rPr>
          <w:rFonts w:ascii="Times New Roman" w:cs="Times New Roman" w:hAnsi="Times New Roman"/>
          <w:b/>
          <w:sz w:val="20"/>
          <w:szCs w:val="20"/>
        </w:rPr>
        <w:t xml:space="preserve"> срок предоставить по эл. почте </w:t>
      </w:r>
      <w:r>
        <w:fldChar w:fldCharType="begin"/>
      </w:r>
      <w:r>
        <w:instrText xml:space="preserve">HYPERLINK "mailto:sic3610243@mail.ru"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sz w:val="20"/>
          <w:szCs w:val="20"/>
          <w:lang w:val="en-US"/>
        </w:rPr>
        <w:t>sic</w:t>
      </w:r>
      <w:r>
        <w:rPr>
          <w:rStyle w:val="Hyperlink"/>
          <w:rFonts w:ascii="Times New Roman" w:cs="Times New Roman" w:hAnsi="Times New Roman"/>
          <w:b/>
          <w:sz w:val="20"/>
          <w:szCs w:val="20"/>
        </w:rPr>
        <w:t>3610243@</w:t>
      </w:r>
      <w:r>
        <w:rPr>
          <w:rStyle w:val="Hyperlink"/>
          <w:rFonts w:ascii="Times New Roman" w:cs="Times New Roman" w:hAnsi="Times New Roman"/>
          <w:b/>
          <w:sz w:val="20"/>
          <w:szCs w:val="20"/>
          <w:lang w:val="en-US"/>
        </w:rPr>
        <w:t>mail</w:t>
      </w:r>
      <w:r>
        <w:rPr>
          <w:rStyle w:val="Hyperlink"/>
          <w:rFonts w:ascii="Times New Roman" w:cs="Times New Roman" w:hAnsi="Times New Roman"/>
          <w:b/>
          <w:sz w:val="20"/>
          <w:szCs w:val="20"/>
        </w:rPr>
        <w:t>.</w:t>
      </w:r>
      <w:r>
        <w:rPr>
          <w:rStyle w:val="Hyperlink"/>
          <w:rFonts w:ascii="Times New Roman" w:cs="Times New Roman" w:hAnsi="Times New Roman"/>
          <w:b/>
          <w:sz w:val="20"/>
          <w:szCs w:val="20"/>
          <w:lang w:val="en-US"/>
        </w:rPr>
        <w:t>ru</w:t>
      </w:r>
      <w:r>
        <w:fldChar w:fldCharType="end"/>
      </w:r>
      <w:r>
        <w:rPr>
          <w:rFonts w:ascii="Times New Roman" w:cs="Times New Roman" w:hAnsi="Times New Roman"/>
          <w:b/>
          <w:sz w:val="20"/>
          <w:szCs w:val="20"/>
        </w:rPr>
        <w:t xml:space="preserve"> в АНО «</w:t>
      </w:r>
      <w:r>
        <w:rPr>
          <w:rFonts w:ascii="Times New Roman" w:cs="Times New Roman" w:hAnsi="Times New Roman"/>
          <w:b/>
          <w:sz w:val="20"/>
          <w:szCs w:val="20"/>
        </w:rPr>
        <w:t>СибИНЖ</w:t>
      </w:r>
      <w:r>
        <w:rPr>
          <w:rFonts w:ascii="Times New Roman" w:cs="Times New Roman" w:hAnsi="Times New Roman"/>
          <w:b/>
          <w:sz w:val="20"/>
          <w:szCs w:val="20"/>
        </w:rPr>
        <w:t>» следующие документы:</w:t>
      </w:r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Заявление.</w:t>
      </w:r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Согласие на обработку персональных данных.</w:t>
      </w:r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Регистрационный лист.</w:t>
      </w:r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Копию документа об образовании.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ListParagraph"/>
        <w:spacing w:after="0" w:line="240" w:lineRule="auto"/>
        <w:jc w:val="both"/>
        <w:rPr/>
      </w:pPr>
      <w:r>
        <w:rPr>
          <w:rFonts w:ascii="Times New Roman" w:cs="Times New Roman" w:hAnsi="Times New Roman"/>
          <w:b/>
          <w:bCs/>
          <w:sz w:val="20"/>
          <w:szCs w:val="20"/>
          <w:u w:val="single"/>
        </w:rPr>
        <w:t xml:space="preserve">!!!  </w:t>
      </w:r>
      <w:r>
        <w:rPr>
          <w:rFonts w:ascii="Times New Roman" w:cs="Times New Roman" w:hAnsi="Times New Roman"/>
          <w:b/>
          <w:bCs/>
          <w:sz w:val="20"/>
          <w:szCs w:val="20"/>
          <w:u w:val="single"/>
        </w:rPr>
        <w:t xml:space="preserve">Формы, перечисленных выше документов, </w:t>
      </w:r>
      <w:r>
        <w:rPr>
          <w:rFonts w:ascii="Times New Roman" w:cs="Times New Roman" w:hAnsi="Times New Roman"/>
          <w:b/>
          <w:bCs/>
          <w:sz w:val="20"/>
          <w:szCs w:val="20"/>
          <w:u w:val="single"/>
        </w:rPr>
        <w:t>необходимо отправить</w:t>
      </w:r>
      <w:r>
        <w:rPr>
          <w:rFonts w:ascii="Times New Roman" w:cs="Times New Roman" w:hAnsi="Times New Roman"/>
          <w:b/>
          <w:bCs/>
          <w:sz w:val="20"/>
          <w:szCs w:val="20"/>
          <w:u w:val="single"/>
        </w:rPr>
        <w:t xml:space="preserve"> после заключения договора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000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7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BE"/>
    <w:rsid w:val="002725F2"/>
    <w:rsid w:val="002B70B9"/>
    <w:rsid w:val="003A0018"/>
    <w:rsid w:val="00415E5B"/>
    <w:rsid w:val="004D5A54"/>
    <w:rsid w:val="006B7D2D"/>
    <w:rsid w:val="00712A79"/>
    <w:rsid w:val="007A3B80"/>
    <w:rsid w:val="00962C86"/>
    <w:rsid w:val="009726BE"/>
    <w:rsid w:val="00A31949"/>
    <w:rsid w:val="00B742DC"/>
    <w:rsid w:val="00E9050B"/>
    <w:rsid w:val="00F0620C"/>
    <w:rsid w:val="00F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CE906"/>
  <w15:chartTrackingRefBased/>
  <w15:docId w15:val="{52209A4B-B9DF-4D20-8AFE-3B7FE8791E11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after="0"/>
    </w:pPr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Заголовок2Знак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openxmlformats.org/officeDocument/2006/relationships/image" Target="media/image2.emf"/><Relationship Id="rId15" Type="http://schemas.openxmlformats.org/officeDocument/2006/relationships/image" Target="media/image3.pn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hyperlink" Target="http://login.consultant.ru/link/?req=doc&amp;base=RZR&amp;n=333239&amp;date=02.10.2020&amp;dst=100010&amp;fld=134" TargetMode="External"/><Relationship Id="rId8" Type="http://schemas.openxmlformats.org/officeDocument/2006/relationships/hyperlink" Target="mailto:sic3610243@mail.ru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sic3610243@mail.ru" TargetMode="External"/><Relationship Id="rId11" Type="http://schemas.openxmlformats.org/officeDocument/2006/relationships/hyperlink" Target="mailto:sic3610243@mail.ru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Щербакова</dc:creator>
  <cp:lastModifiedBy>Елена Жукова</cp:lastModifiedBy>
</cp:coreProperties>
</file>